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248"/>
        <w:gridCol w:w="5725"/>
      </w:tblGrid>
      <w:tr w:rsidR="003C0AF7" w:rsidRPr="003C0AF7" w:rsidTr="00652EA5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15.3-</w:t>
            </w:r>
            <w:proofErr w:type="spellStart"/>
            <w:r w:rsidRPr="003C0AF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1DKS</w:t>
            </w:r>
            <w:proofErr w:type="spellEnd"/>
            <w:r w:rsidRPr="003C0AF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-</w:t>
            </w:r>
            <w:proofErr w:type="spellStart"/>
            <w:r w:rsidRPr="003C0AF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C12</w:t>
            </w:r>
            <w:proofErr w:type="spellEnd"/>
            <w:r w:rsidRPr="003C0AF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-PR</w:t>
            </w:r>
          </w:p>
        </w:tc>
      </w:tr>
      <w:tr w:rsidR="003C0AF7" w:rsidRPr="003C0AF7" w:rsidTr="00652EA5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Public Relations</w:t>
            </w:r>
          </w:p>
        </w:tc>
      </w:tr>
      <w:tr w:rsidR="003C0AF7" w:rsidRPr="003C0AF7" w:rsidTr="00652E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Public Relations</w:t>
            </w:r>
          </w:p>
        </w:tc>
      </w:tr>
    </w:tbl>
    <w:p w:rsidR="003C0AF7" w:rsidRPr="003C0AF7" w:rsidRDefault="003C0AF7" w:rsidP="003C0AF7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3C0AF7" w:rsidRPr="003C0AF7" w:rsidRDefault="003C0AF7" w:rsidP="003C0AF7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3C0AF7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842"/>
      </w:tblGrid>
      <w:tr w:rsidR="003C0AF7" w:rsidRPr="003C0AF7" w:rsidTr="00652EA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Dziennikarstwo i komunikacja społeczna</w:t>
            </w:r>
          </w:p>
        </w:tc>
      </w:tr>
      <w:tr w:rsidR="003C0AF7" w:rsidRPr="003C0AF7" w:rsidTr="00652EA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 stacjonarne ./ niestacjonarne</w:t>
            </w:r>
          </w:p>
        </w:tc>
      </w:tr>
      <w:tr w:rsidR="003C0AF7" w:rsidRPr="003C0AF7" w:rsidTr="00652EA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tabs>
                <w:tab w:val="left" w:pos="1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>studia pierwszego stopnia licencjackie</w:t>
            </w:r>
          </w:p>
        </w:tc>
      </w:tr>
      <w:tr w:rsidR="003C0AF7" w:rsidRPr="003C0AF7" w:rsidTr="00652EA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praktyczny</w:t>
            </w:r>
          </w:p>
        </w:tc>
      </w:tr>
      <w:tr w:rsidR="003C0AF7" w:rsidRPr="003C0AF7" w:rsidTr="00652EA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1.5. Specjalność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Wszystkie specjalności</w:t>
            </w:r>
          </w:p>
        </w:tc>
      </w:tr>
      <w:tr w:rsidR="003C0AF7" w:rsidRPr="003C0AF7" w:rsidTr="00652EA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1.6. Jednostka prowadząca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Instytut Dziennikarstwa i Informacji</w:t>
            </w:r>
          </w:p>
        </w:tc>
      </w:tr>
      <w:tr w:rsidR="003C0AF7" w:rsidRPr="003C0AF7" w:rsidTr="00652EA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1.7. Osoba przygotowująca kartę przedmiotu   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dr Judyta Ewa </w:t>
            </w: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Perczak</w:t>
            </w:r>
            <w:proofErr w:type="spellEnd"/>
          </w:p>
        </w:tc>
      </w:tr>
      <w:tr w:rsidR="003C0AF7" w:rsidRPr="003C0AF7" w:rsidTr="00652EA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1.8. Osoba odpowiedzialna za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dr Judyta Ewa </w:t>
            </w: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Perczak</w:t>
            </w:r>
            <w:proofErr w:type="spellEnd"/>
          </w:p>
        </w:tc>
      </w:tr>
      <w:tr w:rsidR="003C0AF7" w:rsidRPr="003C0AF7" w:rsidTr="00652EA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1.9. Kontakt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jperczak@ujk.edu.pl</w:t>
            </w:r>
          </w:p>
        </w:tc>
      </w:tr>
    </w:tbl>
    <w:p w:rsidR="003C0AF7" w:rsidRPr="003C0AF7" w:rsidRDefault="003C0AF7" w:rsidP="003C0AF7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3C0AF7" w:rsidRPr="003C0AF7" w:rsidRDefault="003C0AF7" w:rsidP="003C0AF7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3C0AF7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5758"/>
      </w:tblGrid>
      <w:tr w:rsidR="003C0AF7" w:rsidRPr="003C0AF7" w:rsidTr="00652EA5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Kierunkowy </w:t>
            </w:r>
          </w:p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C0AF7" w:rsidRPr="003C0AF7" w:rsidTr="00652EA5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Status przedmiotu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obowiązkowy </w:t>
            </w:r>
          </w:p>
        </w:tc>
      </w:tr>
      <w:tr w:rsidR="003C0AF7" w:rsidRPr="003C0AF7" w:rsidTr="00652EA5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2.3. Język wykładowy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</w:t>
            </w:r>
          </w:p>
        </w:tc>
      </w:tr>
      <w:tr w:rsidR="003C0AF7" w:rsidRPr="003C0AF7" w:rsidTr="00652EA5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2.4. Semestry, na których </w:t>
            </w: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br/>
              <w:t xml:space="preserve">       realizowany jest przedmiot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II</w:t>
            </w:r>
            <w:r w:rsidR="00DF723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I</w:t>
            </w:r>
            <w:bookmarkStart w:id="0" w:name="_GoBack"/>
            <w:bookmarkEnd w:id="0"/>
          </w:p>
        </w:tc>
      </w:tr>
      <w:tr w:rsidR="003C0AF7" w:rsidRPr="003C0AF7" w:rsidTr="00652EA5">
        <w:trPr>
          <w:trHeight w:val="369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2.5. Wymagania wstępne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</w:tr>
    </w:tbl>
    <w:p w:rsidR="003C0AF7" w:rsidRPr="003C0AF7" w:rsidRDefault="003C0AF7" w:rsidP="003C0AF7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3C0AF7" w:rsidRPr="003C0AF7" w:rsidRDefault="003C0AF7" w:rsidP="003C0AF7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3C0AF7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6513"/>
      </w:tblGrid>
      <w:tr w:rsidR="003C0AF7" w:rsidRPr="003C0AF7" w:rsidTr="00652EA5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Formy zajęć 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Wykład - 15, ćwiczenia praktyczne – 15- stacjonarne</w:t>
            </w:r>
          </w:p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Wykład - 9, ćwiczenia praktyczne – 9- niestacjonarne</w:t>
            </w:r>
          </w:p>
        </w:tc>
      </w:tr>
      <w:tr w:rsidR="003C0AF7" w:rsidRPr="003C0AF7" w:rsidTr="00652EA5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realizacji zajęć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 xml:space="preserve">zajęcia w pomieszczeniu dydaktycznym </w:t>
            </w:r>
            <w:proofErr w:type="spellStart"/>
            <w:r w:rsidRPr="003C0AF7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>UJK</w:t>
            </w:r>
            <w:proofErr w:type="spellEnd"/>
          </w:p>
        </w:tc>
      </w:tr>
      <w:tr w:rsidR="003C0AF7" w:rsidRPr="003C0AF7" w:rsidTr="00652EA5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zaliczenia zajęć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egzamin</w:t>
            </w:r>
          </w:p>
        </w:tc>
      </w:tr>
      <w:tr w:rsidR="003C0AF7" w:rsidRPr="003C0AF7" w:rsidTr="00652EA5">
        <w:trPr>
          <w:trHeight w:val="28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ind w:left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:rsidR="003C0AF7" w:rsidRPr="003C0AF7" w:rsidRDefault="003C0AF7" w:rsidP="003C0AF7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Wykład konwersatoryjny, ćwiczenia – dyskusja panelowa, analiza przypadków, gry dydaktyczne</w:t>
            </w:r>
          </w:p>
        </w:tc>
      </w:tr>
      <w:tr w:rsidR="003C0AF7" w:rsidRPr="003C0AF7" w:rsidTr="00652EA5">
        <w:trPr>
          <w:trHeight w:val="76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  <w:p w:rsidR="003C0AF7" w:rsidRPr="003C0AF7" w:rsidRDefault="003C0AF7" w:rsidP="003C0AF7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Wojcik</w:t>
            </w:r>
            <w:proofErr w:type="spellEnd"/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Krystyna, Public relations. Wiarygodny dialog z otoczeniem, Warszawa 2009; Podraza Urszula, Kryzysowe Public Relations, Warszawa 2009; ; Szczepanik Rafał, Nietypowe przypadki Public Relations, Gliwice 2009;</w:t>
            </w:r>
          </w:p>
        </w:tc>
      </w:tr>
      <w:tr w:rsidR="003C0AF7" w:rsidRPr="003C0AF7" w:rsidTr="00652EA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Olędzki Jerzy, Etyka w Polskim Public Relations. Refleksje badawcze, Warszawa 2009; </w:t>
            </w:r>
            <w:proofErr w:type="spellStart"/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Rampersad</w:t>
            </w:r>
            <w:proofErr w:type="spellEnd"/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Hubert K., Ty i marka inna niż wszystkie. Sztuka autentycznego </w:t>
            </w:r>
            <w:proofErr w:type="spellStart"/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brandingu</w:t>
            </w:r>
            <w:proofErr w:type="spellEnd"/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osobistego, Gliwice 2009;</w:t>
            </w:r>
          </w:p>
        </w:tc>
      </w:tr>
    </w:tbl>
    <w:p w:rsidR="003C0AF7" w:rsidRPr="003C0AF7" w:rsidRDefault="003C0AF7" w:rsidP="003C0AF7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3C0AF7" w:rsidRPr="003C0AF7" w:rsidRDefault="003C0AF7" w:rsidP="003C0AF7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3C0AF7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3C0AF7" w:rsidRPr="003C0AF7" w:rsidTr="00652EA5">
        <w:trPr>
          <w:trHeight w:val="889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AF7" w:rsidRPr="003C0AF7" w:rsidRDefault="003C0AF7" w:rsidP="003C0AF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Cele przedmiotu</w:t>
            </w:r>
          </w:p>
          <w:p w:rsidR="003C0AF7" w:rsidRPr="003C0AF7" w:rsidRDefault="003C0AF7" w:rsidP="003C0AF7">
            <w:pPr>
              <w:spacing w:after="0" w:line="240" w:lineRule="auto"/>
              <w:ind w:left="356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Wiedza </w:t>
            </w: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– </w:t>
            </w:r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Uzyskanie wiedzy na temat istoty Public Relations, zadań i funkcji tej formy komunikacji, jej miejsca w zespole działań marketingowych, roli społecznej i marketingowej oraz zagadnień etycznych dotyczących PR. </w:t>
            </w:r>
          </w:p>
          <w:p w:rsidR="003C0AF7" w:rsidRPr="003C0AF7" w:rsidRDefault="003C0AF7" w:rsidP="003C0AF7">
            <w:pPr>
              <w:spacing w:after="0" w:line="240" w:lineRule="auto"/>
              <w:ind w:left="356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</w:t>
            </w: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– </w:t>
            </w:r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Nabycie umiejętności analizy kampanii PR i wizerunkowych pod względem treściowym i formalnym.</w:t>
            </w:r>
          </w:p>
          <w:p w:rsidR="003C0AF7" w:rsidRPr="003C0AF7" w:rsidRDefault="003C0AF7" w:rsidP="003C0AF7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Kompetencje społeczne</w:t>
            </w: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– kształtowanie postawy świadomego kształtowania własnego wizerunku i odpowiedzialnego kierowania nim.</w:t>
            </w:r>
          </w:p>
        </w:tc>
      </w:tr>
      <w:tr w:rsidR="003C0AF7" w:rsidRPr="003C0AF7" w:rsidTr="00652EA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Treści programowe</w:t>
            </w:r>
          </w:p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Wykład: definicje, historia, zadania, funkcje public relations. Miejsce PR wśród instrumentów marketingowych: PR a reklama, PR a marketing. </w:t>
            </w:r>
            <w:proofErr w:type="spellStart"/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pl-PL"/>
              </w:rPr>
              <w:t>Pojęcia</w:t>
            </w:r>
            <w:proofErr w:type="spellEnd"/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pl-PL"/>
              </w:rPr>
              <w:t>pokrewne</w:t>
            </w:r>
            <w:proofErr w:type="spellEnd"/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: human relations, public affairs, publicity, propaganda, corporate identity, </w:t>
            </w:r>
            <w:proofErr w:type="spellStart"/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pl-PL"/>
              </w:rPr>
              <w:t>agitacja</w:t>
            </w:r>
            <w:proofErr w:type="spellEnd"/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. </w:t>
            </w:r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Obszary oddziaływania – typy otoczenia. Sposoby nawiązywania i utrzymywania dobrych stosunków z różnymi typami otoczenia. „Czarny” PR – definicje i sposoby reagowania. Etyka w działalności Public Relations. Instytucje zajmujące się prowadzeniem działalności PR.</w:t>
            </w:r>
          </w:p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Ćwiczenia: Planowanie działań PR – zasady i etapy. Ćwiczenia w tworzeniu planów kampanii PR z wykorzystaniem różnych narzędzi, tworzenie narzędzi (prezentacje, notatki prasowe etc.)  Działania PR w sytuacjach kryzysowych. Pojęcie kryzysu w działalności PR – kryzysy społeczne, polityczne, biznesowe – strategie działania. Analiza przypadków </w:t>
            </w:r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lastRenderedPageBreak/>
              <w:t>sytuacji kryzysowych, zastosowanych strategii, ich skutków. Tworzenie scenariuszy alternatywnych. Ćwiczenia w tworzeniu własnego wizerunku. Rola wizerunku w PR, typy wizerunków, zasady tworzenia kampanii wizerunkowych.</w:t>
            </w:r>
          </w:p>
        </w:tc>
      </w:tr>
      <w:tr w:rsidR="003C0AF7" w:rsidRPr="003C0AF7" w:rsidTr="00652EA5">
        <w:trPr>
          <w:cantSplit/>
          <w:trHeight w:val="718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F7" w:rsidRPr="003C0AF7" w:rsidRDefault="003C0AF7" w:rsidP="003C0AF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lastRenderedPageBreak/>
              <w:t>Przedmiotowe efekty kształcenia (mała, średnia, duża liczba efektów)</w:t>
            </w:r>
          </w:p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3C0AF7" w:rsidRPr="003C0AF7" w:rsidRDefault="003C0AF7" w:rsidP="003C0AF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pl" w:eastAsia="pl-PL"/>
        </w:rPr>
      </w:pP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456"/>
        <w:gridCol w:w="1259"/>
        <w:gridCol w:w="1086"/>
      </w:tblGrid>
      <w:tr w:rsidR="003C0AF7" w:rsidRPr="003C0AF7" w:rsidTr="00652EA5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0AF7" w:rsidRPr="003C0AF7" w:rsidRDefault="003C0AF7" w:rsidP="003C0AF7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4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val="pl" w:eastAsia="pl-PL"/>
              </w:rPr>
              <w:t>Stopień nasycenia efektu przedmiotowego</w:t>
            </w:r>
            <w:r w:rsidRPr="003C0AF7"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vertAlign w:val="superscript"/>
                <w:lang w:val="pl" w:eastAsia="pl-PL"/>
              </w:rPr>
              <w:footnoteReference w:id="1"/>
            </w:r>
          </w:p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val="pl" w:eastAsia="pl-PL"/>
              </w:rPr>
              <w:t>[+] [++] [+++]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efektów kształcenia</w:t>
            </w:r>
          </w:p>
        </w:tc>
      </w:tr>
      <w:tr w:rsidR="003C0AF7" w:rsidRPr="003C0AF7" w:rsidTr="00652EA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  <w:tc>
          <w:tcPr>
            <w:tcW w:w="14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dla kierunku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dla </w:t>
            </w:r>
          </w:p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obszaru</w:t>
            </w:r>
          </w:p>
        </w:tc>
      </w:tr>
      <w:tr w:rsidR="003C0AF7" w:rsidRPr="003C0AF7" w:rsidTr="00652EA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  <w:proofErr w:type="spellEnd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C0AF7" w:rsidRPr="003C0AF7" w:rsidRDefault="003C0AF7" w:rsidP="003C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>Z</w:t>
            </w: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na podstawową terminologię, kluczowe teorie dotyczące działań PR, cechy, zadania i miejsce public relations w zespole zintegrowanych działań marketingowych.</w:t>
            </w:r>
          </w:p>
        </w:tc>
        <w:tc>
          <w:tcPr>
            <w:tcW w:w="14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 xml:space="preserve"> ++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DKS1P_W02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H1P_W03</w:t>
            </w:r>
            <w:proofErr w:type="spellEnd"/>
          </w:p>
        </w:tc>
      </w:tr>
      <w:tr w:rsidR="003C0AF7" w:rsidRPr="003C0AF7" w:rsidTr="00652EA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  <w:proofErr w:type="spellEnd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C0AF7" w:rsidRPr="003C0AF7" w:rsidRDefault="003C0AF7" w:rsidP="003C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Ma elementarną wiedzę o powiązaniach nauki o public relations</w:t>
            </w:r>
          </w:p>
          <w:p w:rsidR="003C0AF7" w:rsidRPr="003C0AF7" w:rsidRDefault="003C0AF7" w:rsidP="003C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z nauką o mediach, prawem, etyką, </w:t>
            </w: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informatologią</w:t>
            </w:r>
            <w:proofErr w:type="spellEnd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, nauką o zarządzaniu.</w:t>
            </w:r>
          </w:p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14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++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DKS1P_W04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H1P_W02</w:t>
            </w:r>
            <w:proofErr w:type="spellEnd"/>
          </w:p>
          <w:p w:rsidR="003C0AF7" w:rsidRPr="003C0AF7" w:rsidRDefault="003C0AF7" w:rsidP="003C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S1P_W04</w:t>
            </w:r>
            <w:proofErr w:type="spellEnd"/>
          </w:p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C0AF7" w:rsidRPr="003C0AF7" w:rsidTr="00652EA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W03</w:t>
            </w:r>
            <w:proofErr w:type="spellEnd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C0AF7" w:rsidRPr="003C0AF7" w:rsidRDefault="003C0AF7" w:rsidP="003C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Zna podstawowe kierunki rozwoju i działania PR, sposoby pozyskiwania danych pozwalające tworzyć narzędzia PR</w:t>
            </w:r>
          </w:p>
        </w:tc>
        <w:tc>
          <w:tcPr>
            <w:tcW w:w="14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++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DKS1P_W05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H1P_W04</w:t>
            </w:r>
            <w:proofErr w:type="spellEnd"/>
          </w:p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S1P_W06</w:t>
            </w:r>
            <w:proofErr w:type="spellEnd"/>
          </w:p>
        </w:tc>
      </w:tr>
      <w:tr w:rsidR="003C0AF7" w:rsidRPr="003C0AF7" w:rsidTr="00652EA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W04</w:t>
            </w:r>
            <w:proofErr w:type="spellEnd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C0AF7" w:rsidRPr="003C0AF7" w:rsidRDefault="003C0AF7" w:rsidP="003C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Ma wiedzę na temat istniejących uregulowań prawnych, dotyczących public relations.</w:t>
            </w:r>
          </w:p>
          <w:p w:rsidR="003C0AF7" w:rsidRPr="003C0AF7" w:rsidRDefault="003C0AF7" w:rsidP="003C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14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++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DKS1P_W13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H1P_W06</w:t>
            </w:r>
            <w:proofErr w:type="spellEnd"/>
          </w:p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S1P_W02</w:t>
            </w:r>
            <w:proofErr w:type="spellEnd"/>
          </w:p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S1P_W07</w:t>
            </w:r>
            <w:proofErr w:type="spellEnd"/>
          </w:p>
        </w:tc>
      </w:tr>
      <w:tr w:rsidR="003C0AF7" w:rsidRPr="003C0AF7" w:rsidTr="00652EA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 zakresie UMIEJĘTNOŚCI:</w:t>
            </w:r>
          </w:p>
        </w:tc>
        <w:tc>
          <w:tcPr>
            <w:tcW w:w="14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C0AF7" w:rsidRPr="003C0AF7" w:rsidTr="00652EA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  <w:proofErr w:type="spellEnd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C0AF7" w:rsidRPr="003C0AF7" w:rsidRDefault="003C0AF7" w:rsidP="003C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Potrafi sformułować prosty problem badawczy w obrębie public relations, wykorzystać znane metody i narzędzia do</w:t>
            </w:r>
          </w:p>
          <w:p w:rsidR="003C0AF7" w:rsidRPr="003C0AF7" w:rsidRDefault="003C0AF7" w:rsidP="003C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przeprowadzenia analizy problemu, umie opracować wyniki badania i dokonać syntetycznych wniosków.</w:t>
            </w:r>
          </w:p>
        </w:tc>
        <w:tc>
          <w:tcPr>
            <w:tcW w:w="14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++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DKS1P_U02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H1P_U03</w:t>
            </w:r>
            <w:proofErr w:type="spellEnd"/>
          </w:p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S1P_U02</w:t>
            </w:r>
            <w:proofErr w:type="spellEnd"/>
          </w:p>
        </w:tc>
      </w:tr>
      <w:tr w:rsidR="003C0AF7" w:rsidRPr="003C0AF7" w:rsidTr="00652EA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  <w:proofErr w:type="spellEnd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C0AF7" w:rsidRPr="003C0AF7" w:rsidRDefault="003C0AF7" w:rsidP="003C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Potrafi stworzyć prosty plan i narzędzia PR dostosowane do sytuacji, uzasadnić wybór narzędzia i </w:t>
            </w: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zastosowanejargumentacji</w:t>
            </w:r>
            <w:proofErr w:type="spellEnd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  <w:r w:rsidRPr="003C0AF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++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DKS1P_U08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H1P_U12</w:t>
            </w:r>
            <w:proofErr w:type="spellEnd"/>
          </w:p>
          <w:p w:rsidR="003C0AF7" w:rsidRPr="003C0AF7" w:rsidRDefault="003C0AF7" w:rsidP="003C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H1P_U13</w:t>
            </w:r>
            <w:proofErr w:type="spellEnd"/>
          </w:p>
          <w:p w:rsidR="003C0AF7" w:rsidRPr="003C0AF7" w:rsidRDefault="003C0AF7" w:rsidP="003C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S1P_U09</w:t>
            </w:r>
            <w:proofErr w:type="spellEnd"/>
          </w:p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C0AF7" w:rsidRPr="003C0AF7" w:rsidTr="00652EA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 zakresie KOMPETENCJI SPOŁECZNYCH:</w:t>
            </w:r>
          </w:p>
        </w:tc>
        <w:tc>
          <w:tcPr>
            <w:tcW w:w="14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3C0AF7" w:rsidRPr="003C0AF7" w:rsidTr="00652EA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  <w:proofErr w:type="spellEnd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C0AF7" w:rsidRPr="003C0AF7" w:rsidRDefault="003C0AF7" w:rsidP="003C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Podejmuje współpracę w grupie przy realizacji zadań w trakcie zajęć oraz poza nimi.</w:t>
            </w:r>
          </w:p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14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++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DKS1P_K02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H1P_K02</w:t>
            </w:r>
            <w:proofErr w:type="spellEnd"/>
          </w:p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S1K_K02</w:t>
            </w:r>
            <w:proofErr w:type="spellEnd"/>
          </w:p>
        </w:tc>
      </w:tr>
      <w:tr w:rsidR="003C0AF7" w:rsidRPr="003C0AF7" w:rsidTr="00652EA5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K03</w:t>
            </w:r>
            <w:proofErr w:type="spellEnd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C0AF7" w:rsidRPr="003C0AF7" w:rsidRDefault="003C0AF7" w:rsidP="003C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Poznaje specyfikę zawodu pracownika public relations i przygotowuje się do rozwiązywania ewentualnych problemów.</w:t>
            </w:r>
          </w:p>
        </w:tc>
        <w:tc>
          <w:tcPr>
            <w:tcW w:w="145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  <w:t>++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DKS1P_K04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H1P_K04</w:t>
            </w:r>
            <w:proofErr w:type="spellEnd"/>
          </w:p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S1P_K04</w:t>
            </w:r>
            <w:proofErr w:type="spellEnd"/>
          </w:p>
        </w:tc>
      </w:tr>
    </w:tbl>
    <w:p w:rsidR="003C0AF7" w:rsidRPr="003C0AF7" w:rsidRDefault="003C0AF7" w:rsidP="003C0AF7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3C0AF7" w:rsidRPr="003C0AF7" w:rsidTr="00652EA5">
        <w:trPr>
          <w:trHeight w:val="412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Kryteria oceny osiągniętych efektów kształcenia dla każdej formy zajęć</w:t>
            </w:r>
          </w:p>
          <w:p w:rsidR="003C0AF7" w:rsidRPr="003C0AF7" w:rsidRDefault="003C0AF7" w:rsidP="003C0AF7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</w:tr>
      <w:tr w:rsidR="003C0AF7" w:rsidRPr="003C0AF7" w:rsidTr="00652EA5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5</w:t>
            </w:r>
          </w:p>
        </w:tc>
      </w:tr>
      <w:tr w:rsidR="003C0AF7" w:rsidRPr="003C0AF7" w:rsidTr="00652EA5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W – obecność na wykładach, zaliczenie kolokwium ustnego na 51-60%</w:t>
            </w:r>
          </w:p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Ćw. Cztery zadania wykonane na 51-60%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 – obecność i dyskusje na wykładach, zaliczenie kolokwium ustnego na 61-70%</w:t>
            </w:r>
          </w:p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Ćw. – Cztery zadania wykonane na 61-70%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 – obecność i dyskusje na wykładach, zaliczenie kolokwium ustnego na 71-80%</w:t>
            </w:r>
          </w:p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Ćw. - Cztery zadania wykonane na 71-80%,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 – obecność i dyskusje na wykładach, zaliczenie kolokwium ustnego na 81-90%</w:t>
            </w:r>
          </w:p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Ćw. - Cztery zadania wykonane na 81-90%,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 – obecność i dyskusje na wykładach, zaliczenie kolokwium ustnego na 91-100%</w:t>
            </w:r>
          </w:p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Ćw. - Cztery zadania wykonane na 91-100%,</w:t>
            </w:r>
          </w:p>
        </w:tc>
      </w:tr>
    </w:tbl>
    <w:p w:rsidR="003C0AF7" w:rsidRPr="003C0AF7" w:rsidRDefault="003C0AF7" w:rsidP="003C0AF7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41"/>
      </w:tblGrid>
      <w:tr w:rsidR="003C0AF7" w:rsidRPr="003C0AF7" w:rsidTr="00652EA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numPr>
                <w:ilvl w:val="1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lastRenderedPageBreak/>
              <w:t>Metody oceny dla każdej formy zajęć</w:t>
            </w:r>
          </w:p>
          <w:p w:rsidR="003C0AF7" w:rsidRPr="003C0AF7" w:rsidRDefault="003C0AF7" w:rsidP="003C0AF7">
            <w:pPr>
              <w:tabs>
                <w:tab w:val="left" w:pos="851"/>
              </w:tabs>
              <w:spacing w:after="0" w:line="240" w:lineRule="auto"/>
              <w:ind w:left="68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Wskazane metody sprawdzania muszą być tak dobrane, aby umożliwiać ocenę osiągnięcia wszystkich założonych przedmiotowych efektów kształcenia.  Należy przyporządkować do każdej formy kształcenia realizującej przedmiot metodę oceny, np. formułowanie efektów z zakresu umiejętności obliguje nas do zastosowania odpowiedniej metody. Tradycyjny test nie jest w stanie zweryfikować tych umiejętności, a  jedynie zweryfikować efekty z zakresu wiedzy.</w:t>
            </w:r>
          </w:p>
        </w:tc>
      </w:tr>
      <w:tr w:rsidR="003C0AF7" w:rsidRPr="003C0AF7" w:rsidTr="00652EA5">
        <w:trPr>
          <w:trHeight w:val="44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Dyskusje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Inne</w:t>
            </w: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vertAlign w:val="superscript"/>
                <w:lang w:val="pl" w:eastAsia="pl-PL"/>
              </w:rPr>
              <w:footnoteReference w:id="2"/>
            </w:r>
          </w:p>
        </w:tc>
      </w:tr>
      <w:tr w:rsidR="003C0AF7" w:rsidRPr="003C0AF7" w:rsidTr="00652EA5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 (W)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X(</w:t>
            </w:r>
            <w:proofErr w:type="spellStart"/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</w:t>
            </w:r>
            <w:proofErr w:type="spellEnd"/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W przypadku zaliczenia ćwiczeń na 5,0 i 50% obecności na wykładach możliwość zwolnienia z kolokwium z oceną 5,0  </w:t>
            </w:r>
          </w:p>
        </w:tc>
      </w:tr>
      <w:tr w:rsidR="003C0AF7" w:rsidRPr="003C0AF7" w:rsidTr="00652EA5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:rsidR="003C0AF7" w:rsidRPr="003C0AF7" w:rsidRDefault="003C0AF7" w:rsidP="003C0AF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val="pl" w:eastAsia="pl-PL"/>
        </w:rPr>
      </w:pPr>
      <w:r w:rsidRPr="003C0AF7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val="pl" w:eastAsia="pl-PL"/>
        </w:rPr>
        <w:t>3</w:t>
      </w:r>
      <w:r w:rsidRPr="003C0AF7">
        <w:rPr>
          <w:rFonts w:ascii="Times New Roman" w:eastAsia="Arial Unicode MS" w:hAnsi="Times New Roman" w:cs="Times New Roman"/>
          <w:color w:val="000000"/>
          <w:sz w:val="20"/>
          <w:szCs w:val="20"/>
          <w:lang w:val="pl" w:eastAsia="pl-PL"/>
        </w:rPr>
        <w:t xml:space="preserve"> Należy wpisać rodzaj metody.</w:t>
      </w:r>
    </w:p>
    <w:p w:rsidR="003C0AF7" w:rsidRPr="003C0AF7" w:rsidRDefault="003C0AF7" w:rsidP="003C0AF7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3C0AF7" w:rsidRPr="003C0AF7" w:rsidRDefault="003C0AF7" w:rsidP="003C0AF7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3C0AF7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BILANS PUNKTÓW </w:t>
      </w:r>
      <w:proofErr w:type="spellStart"/>
      <w:r w:rsidRPr="003C0AF7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ECTS</w:t>
      </w:r>
      <w:proofErr w:type="spellEnd"/>
      <w:r w:rsidRPr="003C0AF7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 xml:space="preserve"> – NAKŁAD PRACY STUDENTA</w:t>
      </w:r>
    </w:p>
    <w:p w:rsidR="003C0AF7" w:rsidRPr="003C0AF7" w:rsidRDefault="003C0AF7" w:rsidP="003C0AF7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420"/>
        <w:gridCol w:w="1472"/>
      </w:tblGrid>
      <w:tr w:rsidR="003C0AF7" w:rsidRPr="003C0AF7" w:rsidTr="00652EA5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3C0AF7" w:rsidRPr="003C0AF7" w:rsidTr="00652E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3C0AF7" w:rsidRPr="003C0AF7" w:rsidTr="00652EA5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18</w:t>
            </w:r>
          </w:p>
        </w:tc>
      </w:tr>
      <w:tr w:rsidR="003C0AF7" w:rsidRPr="003C0AF7" w:rsidTr="00652EA5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9</w:t>
            </w:r>
          </w:p>
        </w:tc>
      </w:tr>
      <w:tr w:rsidR="003C0AF7" w:rsidRPr="003C0AF7" w:rsidTr="00652EA5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9</w:t>
            </w:r>
          </w:p>
        </w:tc>
      </w:tr>
      <w:tr w:rsidR="003C0AF7" w:rsidRPr="003C0AF7" w:rsidTr="00652EA5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3C0AF7" w:rsidRPr="003C0AF7" w:rsidTr="00652EA5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3C0AF7" w:rsidRPr="003C0AF7" w:rsidTr="00652EA5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3C0AF7" w:rsidRPr="003C0AF7" w:rsidTr="00652EA5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SAMODZIELNA PRACA STUDENTA /GODZINY </w:t>
            </w:r>
            <w:proofErr w:type="spellStart"/>
            <w:r w:rsidRPr="003C0A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NIEKONTAKTOWE</w:t>
            </w:r>
            <w:proofErr w:type="spellEnd"/>
            <w:r w:rsidRPr="003C0A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57</w:t>
            </w:r>
          </w:p>
        </w:tc>
      </w:tr>
      <w:tr w:rsidR="003C0AF7" w:rsidRPr="003C0AF7" w:rsidTr="00652EA5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14</w:t>
            </w:r>
          </w:p>
        </w:tc>
      </w:tr>
      <w:tr w:rsidR="003C0AF7" w:rsidRPr="003C0AF7" w:rsidTr="00652EA5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13</w:t>
            </w:r>
          </w:p>
        </w:tc>
      </w:tr>
      <w:tr w:rsidR="003C0AF7" w:rsidRPr="003C0AF7" w:rsidTr="00652EA5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24</w:t>
            </w:r>
          </w:p>
        </w:tc>
      </w:tr>
      <w:tr w:rsidR="003C0AF7" w:rsidRPr="003C0AF7" w:rsidTr="00652EA5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3C0AF7" w:rsidRPr="003C0AF7" w:rsidTr="00652EA5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6</w:t>
            </w:r>
          </w:p>
        </w:tc>
      </w:tr>
      <w:tr w:rsidR="003C0AF7" w:rsidRPr="003C0AF7" w:rsidTr="00652EA5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Przygotowanie hasła do </w:t>
            </w:r>
            <w:proofErr w:type="spellStart"/>
            <w:r w:rsidRPr="003C0A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wikipedii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3C0AF7" w:rsidRPr="003C0AF7" w:rsidTr="00652EA5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3C0AF7" w:rsidRPr="003C0AF7" w:rsidTr="00652EA5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75</w:t>
            </w:r>
          </w:p>
        </w:tc>
      </w:tr>
      <w:tr w:rsidR="003C0AF7" w:rsidRPr="003C0AF7" w:rsidTr="00652EA5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0AF7" w:rsidRPr="003C0AF7" w:rsidRDefault="003C0AF7" w:rsidP="003C0A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PUNKTY </w:t>
            </w:r>
            <w:proofErr w:type="spellStart"/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ECTS</w:t>
            </w:r>
            <w:proofErr w:type="spellEnd"/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0AF7" w:rsidRPr="003C0AF7" w:rsidRDefault="003C0AF7" w:rsidP="003C0A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0AF7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</w:tr>
    </w:tbl>
    <w:p w:rsidR="003C0AF7" w:rsidRPr="003C0AF7" w:rsidRDefault="003C0AF7" w:rsidP="003C0AF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3C0AF7" w:rsidRPr="003C0AF7" w:rsidRDefault="003C0AF7" w:rsidP="003C0AF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3C0AF7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Przyjmuję do realizacji</w:t>
      </w:r>
      <w:r w:rsidRPr="003C0AF7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   (data i podpisy osób prowadzących przedmiot w danym roku akademickim)</w:t>
      </w:r>
    </w:p>
    <w:p w:rsidR="003C0AF7" w:rsidRPr="003C0AF7" w:rsidRDefault="003C0AF7" w:rsidP="003C0AF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</w:p>
    <w:p w:rsidR="003C0AF7" w:rsidRPr="003C0AF7" w:rsidRDefault="003C0AF7" w:rsidP="003C0AF7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3C0AF7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3C0AF7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3C0AF7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</w:r>
      <w:r w:rsidRPr="003C0AF7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ab/>
        <w:t>.....................................................................................................................................</w:t>
      </w:r>
    </w:p>
    <w:p w:rsidR="009E5DD7" w:rsidRPr="003C0AF7" w:rsidRDefault="009E5DD7">
      <w:pPr>
        <w:rPr>
          <w:rFonts w:ascii="Times New Roman" w:hAnsi="Times New Roman" w:cs="Times New Roman"/>
          <w:sz w:val="20"/>
          <w:szCs w:val="20"/>
        </w:rPr>
      </w:pPr>
    </w:p>
    <w:sectPr w:rsidR="009E5DD7" w:rsidRPr="003C0AF7" w:rsidSect="006116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E52" w:rsidRDefault="00D75E52" w:rsidP="003C0AF7">
      <w:pPr>
        <w:spacing w:after="0" w:line="240" w:lineRule="auto"/>
      </w:pPr>
      <w:r>
        <w:separator/>
      </w:r>
    </w:p>
  </w:endnote>
  <w:endnote w:type="continuationSeparator" w:id="0">
    <w:p w:rsidR="00D75E52" w:rsidRDefault="00D75E52" w:rsidP="003C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E52" w:rsidRDefault="00D75E52" w:rsidP="003C0AF7">
      <w:pPr>
        <w:spacing w:after="0" w:line="240" w:lineRule="auto"/>
      </w:pPr>
      <w:r>
        <w:separator/>
      </w:r>
    </w:p>
  </w:footnote>
  <w:footnote w:type="continuationSeparator" w:id="0">
    <w:p w:rsidR="00D75E52" w:rsidRDefault="00D75E52" w:rsidP="003C0AF7">
      <w:pPr>
        <w:spacing w:after="0" w:line="240" w:lineRule="auto"/>
      </w:pPr>
      <w:r>
        <w:continuationSeparator/>
      </w:r>
    </w:p>
  </w:footnote>
  <w:footnote w:id="1">
    <w:p w:rsidR="003C0AF7" w:rsidRPr="004F4882" w:rsidRDefault="003C0AF7" w:rsidP="003C0AF7">
      <w:pPr>
        <w:pStyle w:val="Tekstprzypisudolnego"/>
        <w:rPr>
          <w:rFonts w:ascii="Times New Roman" w:hAnsi="Times New Roman"/>
          <w:color w:val="FF0000"/>
          <w:lang w:val="pl-PL"/>
        </w:rPr>
      </w:pPr>
    </w:p>
  </w:footnote>
  <w:footnote w:id="2">
    <w:p w:rsidR="003C0AF7" w:rsidRPr="006E15D8" w:rsidRDefault="003C0AF7" w:rsidP="003C0AF7">
      <w:pPr>
        <w:pStyle w:val="Tekstprzypisudolnego"/>
        <w:rPr>
          <w:rFonts w:ascii="Times New Roman" w:hAnsi="Times New Roman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C6BC7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F7"/>
    <w:rsid w:val="003C0AF7"/>
    <w:rsid w:val="0061167D"/>
    <w:rsid w:val="009E5DD7"/>
    <w:rsid w:val="00D75E52"/>
    <w:rsid w:val="00D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42D3"/>
  <w15:chartTrackingRefBased/>
  <w15:docId w15:val="{B2593697-F071-46F8-89B2-74F470AC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C0A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0AF7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2018-01-04T16:03:00Z</dcterms:created>
  <dcterms:modified xsi:type="dcterms:W3CDTF">2018-01-04T16:07:00Z</dcterms:modified>
</cp:coreProperties>
</file>